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hd w:val="clear" w:color="auto" w:fill="FFFFFF"/>
        <w:kinsoku/>
        <w:wordWrap/>
        <w:overflowPunct/>
        <w:topLinePunct w:val="0"/>
        <w:autoSpaceDE/>
        <w:autoSpaceDN/>
        <w:bidi w:val="0"/>
        <w:adjustRightInd/>
        <w:snapToGrid/>
        <w:spacing w:line="560" w:lineRule="exact"/>
        <w:jc w:val="left"/>
        <w:textAlignment w:val="auto"/>
        <w:rPr>
          <w:rFonts w:ascii="黑体" w:hAnsi="黑体" w:eastAsia="黑体" w:cs="宋体"/>
          <w:bCs/>
          <w:color w:val="333333"/>
          <w:kern w:val="0"/>
          <w:sz w:val="32"/>
          <w:szCs w:val="32"/>
        </w:rPr>
      </w:pPr>
      <w:r>
        <w:rPr>
          <w:rFonts w:hint="eastAsia" w:ascii="黑体" w:hAnsi="黑体" w:eastAsia="黑体" w:cs="宋体"/>
          <w:bCs/>
          <w:color w:val="333333"/>
          <w:kern w:val="0"/>
          <w:sz w:val="32"/>
          <w:szCs w:val="32"/>
        </w:rPr>
        <w:t>附件</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883" w:firstLineChars="200"/>
        <w:jc w:val="center"/>
        <w:textAlignment w:val="auto"/>
        <w:rPr>
          <w:rFonts w:hint="eastAsia" w:ascii="宋体" w:hAnsi="宋体" w:cs="宋体"/>
          <w:b/>
          <w:bCs/>
          <w:color w:val="333333"/>
          <w:kern w:val="0"/>
          <w:sz w:val="44"/>
          <w:szCs w:val="44"/>
          <w:lang w:eastAsia="zh-CN"/>
        </w:rPr>
      </w:pPr>
      <w:r>
        <w:rPr>
          <w:rFonts w:hint="eastAsia" w:ascii="宋体" w:hAnsi="宋体" w:cs="宋体"/>
          <w:b/>
          <w:bCs/>
          <w:color w:val="333333"/>
          <w:kern w:val="0"/>
          <w:sz w:val="44"/>
          <w:szCs w:val="44"/>
        </w:rPr>
        <w:t>深圳市社会组织管理局</w:t>
      </w:r>
      <w:r>
        <w:rPr>
          <w:rFonts w:hint="eastAsia" w:ascii="宋体" w:hAnsi="宋体" w:cs="宋体"/>
          <w:b/>
          <w:bCs/>
          <w:color w:val="333333"/>
          <w:kern w:val="0"/>
          <w:sz w:val="44"/>
          <w:szCs w:val="44"/>
          <w:lang w:val="en-US" w:eastAsia="zh-CN"/>
        </w:rPr>
        <w:t>2023</w:t>
      </w:r>
      <w:r>
        <w:rPr>
          <w:rFonts w:hint="eastAsia" w:ascii="宋体" w:hAnsi="宋体" w:cs="宋体"/>
          <w:b/>
          <w:bCs/>
          <w:color w:val="333333"/>
          <w:kern w:val="0"/>
          <w:sz w:val="44"/>
          <w:szCs w:val="44"/>
        </w:rPr>
        <w:t>年度</w:t>
      </w:r>
      <w:r>
        <w:rPr>
          <w:rFonts w:hint="eastAsia" w:ascii="宋体" w:hAnsi="宋体" w:cs="宋体"/>
          <w:b/>
          <w:bCs/>
          <w:color w:val="333333"/>
          <w:kern w:val="0"/>
          <w:sz w:val="44"/>
          <w:szCs w:val="44"/>
          <w:lang w:eastAsia="zh-CN"/>
        </w:rPr>
        <w:t>福彩</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883" w:firstLineChars="200"/>
        <w:jc w:val="center"/>
        <w:textAlignment w:val="auto"/>
        <w:rPr>
          <w:rFonts w:ascii="宋体" w:hAnsi="宋体" w:cs="宋体"/>
          <w:color w:val="333333"/>
          <w:kern w:val="0"/>
          <w:sz w:val="44"/>
          <w:szCs w:val="44"/>
        </w:rPr>
      </w:pPr>
      <w:r>
        <w:rPr>
          <w:rFonts w:hint="eastAsia" w:ascii="宋体" w:hAnsi="宋体" w:cs="宋体"/>
          <w:b/>
          <w:bCs/>
          <w:color w:val="333333"/>
          <w:kern w:val="0"/>
          <w:sz w:val="44"/>
          <w:szCs w:val="44"/>
        </w:rPr>
        <w:t>公益金项目信息</w:t>
      </w:r>
      <w:r>
        <w:rPr>
          <w:rFonts w:hint="default" w:ascii="宋体" w:hAnsi="宋体" w:cs="宋体"/>
          <w:b/>
          <w:bCs/>
          <w:color w:val="333333"/>
          <w:kern w:val="0"/>
          <w:sz w:val="44"/>
          <w:szCs w:val="44"/>
        </w:rPr>
        <w:t>公开</w:t>
      </w:r>
      <w:r>
        <w:rPr>
          <w:rFonts w:hint="eastAsia" w:ascii="宋体" w:hAnsi="宋体" w:cs="宋体"/>
          <w:b/>
          <w:bCs/>
          <w:color w:val="333333"/>
          <w:kern w:val="0"/>
          <w:sz w:val="44"/>
          <w:szCs w:val="44"/>
        </w:rPr>
        <w:t>表</w:t>
      </w:r>
    </w:p>
    <w:tbl>
      <w:tblPr>
        <w:tblStyle w:val="12"/>
        <w:tblW w:w="9901" w:type="dxa"/>
        <w:tblInd w:w="-4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84" w:type="dxa"/>
          <w:left w:w="84" w:type="dxa"/>
          <w:bottom w:w="84" w:type="dxa"/>
          <w:right w:w="84" w:type="dxa"/>
        </w:tblCellMar>
      </w:tblPr>
      <w:tblGrid>
        <w:gridCol w:w="1741"/>
        <w:gridCol w:w="1234"/>
        <w:gridCol w:w="1435"/>
        <w:gridCol w:w="1716"/>
        <w:gridCol w:w="1109"/>
        <w:gridCol w:w="1245"/>
        <w:gridCol w:w="14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84" w:type="dxa"/>
            <w:right w:w="84" w:type="dxa"/>
          </w:tblCellMar>
        </w:tblPrEx>
        <w:trPr>
          <w:trHeight w:val="411" w:hRule="atLeast"/>
        </w:trPr>
        <w:tc>
          <w:tcPr>
            <w:tcW w:w="1741"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项目名称</w:t>
            </w:r>
          </w:p>
        </w:tc>
        <w:tc>
          <w:tcPr>
            <w:tcW w:w="8160" w:type="dxa"/>
            <w:gridSpan w:val="6"/>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lang w:val="en-US" w:eastAsia="zh-CN"/>
              </w:rPr>
              <w:t>深圳市社会组织交流服务展示点项目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84" w:type="dxa"/>
            <w:right w:w="84" w:type="dxa"/>
          </w:tblCellMar>
        </w:tblPrEx>
        <w:trPr>
          <w:trHeight w:val="250" w:hRule="atLeast"/>
        </w:trPr>
        <w:tc>
          <w:tcPr>
            <w:tcW w:w="1741"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项目负责人</w:t>
            </w:r>
          </w:p>
        </w:tc>
        <w:tc>
          <w:tcPr>
            <w:tcW w:w="2669"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林江</w:t>
            </w:r>
          </w:p>
        </w:tc>
        <w:tc>
          <w:tcPr>
            <w:tcW w:w="1716"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联系方式</w:t>
            </w:r>
          </w:p>
        </w:tc>
        <w:tc>
          <w:tcPr>
            <w:tcW w:w="3775"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25831760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84" w:type="dxa"/>
            <w:right w:w="84" w:type="dxa"/>
          </w:tblCellMar>
        </w:tblPrEx>
        <w:trPr>
          <w:trHeight w:val="639" w:hRule="atLeast"/>
        </w:trPr>
        <w:tc>
          <w:tcPr>
            <w:tcW w:w="1741"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项目资金</w:t>
            </w:r>
          </w:p>
          <w:p>
            <w:pPr>
              <w:widowControl/>
              <w:jc w:val="center"/>
              <w:rPr>
                <w:rFonts w:hint="eastAsia" w:ascii="仿宋_GB2312" w:hAnsi="仿宋_GB2312" w:eastAsia="仿宋_GB2312" w:cs="仿宋_GB2312"/>
                <w:color w:val="auto"/>
                <w:kern w:val="0"/>
                <w:sz w:val="24"/>
                <w:szCs w:val="24"/>
                <w:highlight w:val="yellow"/>
              </w:rPr>
            </w:pPr>
            <w:r>
              <w:rPr>
                <w:rFonts w:hint="eastAsia" w:ascii="仿宋_GB2312" w:hAnsi="仿宋_GB2312" w:eastAsia="仿宋_GB2312" w:cs="仿宋_GB2312"/>
                <w:color w:val="auto"/>
                <w:kern w:val="0"/>
                <w:sz w:val="24"/>
                <w:szCs w:val="24"/>
              </w:rPr>
              <w:t>（万元）</w:t>
            </w:r>
          </w:p>
        </w:tc>
        <w:tc>
          <w:tcPr>
            <w:tcW w:w="1234"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资助资金</w:t>
            </w:r>
          </w:p>
        </w:tc>
        <w:tc>
          <w:tcPr>
            <w:tcW w:w="1435"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left"/>
              <w:rPr>
                <w:rFonts w:hint="eastAsia" w:ascii="仿宋_GB2312" w:hAnsi="仿宋_GB2312" w:eastAsia="仿宋_GB2312" w:cs="仿宋_GB2312"/>
                <w:color w:val="auto"/>
                <w:kern w:val="0"/>
                <w:sz w:val="24"/>
                <w:szCs w:val="24"/>
                <w:lang w:val="en-US"/>
              </w:rPr>
            </w:pPr>
            <w:r>
              <w:rPr>
                <w:rFonts w:hint="eastAsia" w:ascii="仿宋_GB2312" w:hAnsi="仿宋_GB2312" w:eastAsia="仿宋_GB2312" w:cs="仿宋_GB2312"/>
                <w:color w:val="auto"/>
                <w:kern w:val="0"/>
                <w:sz w:val="24"/>
                <w:szCs w:val="24"/>
                <w:lang w:val="en-US" w:eastAsia="zh-CN"/>
              </w:rPr>
              <w:t>266</w:t>
            </w:r>
          </w:p>
        </w:tc>
        <w:tc>
          <w:tcPr>
            <w:tcW w:w="1716"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实际下拨资金</w:t>
            </w:r>
          </w:p>
        </w:tc>
        <w:tc>
          <w:tcPr>
            <w:tcW w:w="1109"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left"/>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266</w:t>
            </w:r>
          </w:p>
        </w:tc>
        <w:tc>
          <w:tcPr>
            <w:tcW w:w="1245" w:type="dxa"/>
            <w:tcBorders>
              <w:top w:val="single" w:color="000000" w:sz="4" w:space="0"/>
              <w:left w:val="single" w:color="auto" w:sz="4" w:space="0"/>
              <w:bottom w:val="single" w:color="000000" w:sz="4" w:space="0"/>
              <w:right w:val="single" w:color="auto" w:sz="4" w:space="0"/>
            </w:tcBorders>
            <w:vAlign w:val="center"/>
          </w:tcPr>
          <w:p>
            <w:pPr>
              <w:widowControl/>
              <w:spacing w:line="0" w:lineRule="atLeast"/>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实际支出</w:t>
            </w:r>
          </w:p>
        </w:tc>
        <w:tc>
          <w:tcPr>
            <w:tcW w:w="1421"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lang w:val="en-US" w:eastAsia="zh-CN"/>
              </w:rPr>
              <w:t>249.5367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84" w:type="dxa"/>
            <w:right w:w="84" w:type="dxa"/>
          </w:tblCellMar>
        </w:tblPrEx>
        <w:trPr>
          <w:trHeight w:val="245" w:hRule="atLeast"/>
        </w:trPr>
        <w:tc>
          <w:tcPr>
            <w:tcW w:w="1741"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项目完成情况</w:t>
            </w:r>
          </w:p>
        </w:tc>
        <w:tc>
          <w:tcPr>
            <w:tcW w:w="8160" w:type="dxa"/>
            <w:gridSpan w:val="6"/>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资金执行率</w:t>
            </w:r>
            <w:r>
              <w:rPr>
                <w:rFonts w:hint="eastAsia" w:ascii="仿宋_GB2312" w:hAnsi="仿宋_GB2312" w:eastAsia="仿宋_GB2312" w:cs="仿宋_GB2312"/>
                <w:color w:val="auto"/>
                <w:kern w:val="0"/>
                <w:sz w:val="24"/>
                <w:szCs w:val="24"/>
                <w:lang w:val="en-US" w:eastAsia="zh-CN"/>
              </w:rPr>
              <w:t>97.38</w:t>
            </w:r>
            <w:r>
              <w:rPr>
                <w:rFonts w:hint="eastAsia" w:ascii="仿宋_GB2312" w:hAnsi="仿宋_GB2312" w:eastAsia="仿宋_GB2312" w:cs="仿宋_GB2312"/>
                <w:color w:val="auto"/>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84" w:type="dxa"/>
            <w:right w:w="84" w:type="dxa"/>
          </w:tblCellMar>
        </w:tblPrEx>
        <w:trPr>
          <w:trHeight w:val="209" w:hRule="atLeast"/>
        </w:trPr>
        <w:tc>
          <w:tcPr>
            <w:tcW w:w="1741"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项目周期</w:t>
            </w:r>
          </w:p>
        </w:tc>
        <w:tc>
          <w:tcPr>
            <w:tcW w:w="8160" w:type="dxa"/>
            <w:gridSpan w:val="6"/>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lang w:val="en-US" w:eastAsia="zh-CN"/>
              </w:rPr>
              <w:t>2023</w:t>
            </w:r>
            <w:r>
              <w:rPr>
                <w:rFonts w:hint="eastAsia" w:ascii="仿宋_GB2312" w:hAnsi="仿宋_GB2312" w:eastAsia="仿宋_GB2312" w:cs="仿宋_GB2312"/>
                <w:color w:val="auto"/>
                <w:kern w:val="0"/>
                <w:sz w:val="24"/>
                <w:szCs w:val="24"/>
              </w:rPr>
              <w:t>年4月1</w:t>
            </w:r>
            <w:r>
              <w:rPr>
                <w:rFonts w:hint="eastAsia" w:ascii="仿宋_GB2312" w:hAnsi="仿宋_GB2312" w:eastAsia="仿宋_GB2312" w:cs="仿宋_GB2312"/>
                <w:color w:val="auto"/>
                <w:kern w:val="0"/>
                <w:sz w:val="24"/>
                <w:szCs w:val="24"/>
                <w:lang w:val="en-US" w:eastAsia="zh-CN"/>
              </w:rPr>
              <w:t>3</w:t>
            </w:r>
            <w:r>
              <w:rPr>
                <w:rFonts w:hint="eastAsia" w:ascii="仿宋_GB2312" w:hAnsi="仿宋_GB2312" w:eastAsia="仿宋_GB2312" w:cs="仿宋_GB2312"/>
                <w:color w:val="auto"/>
                <w:kern w:val="0"/>
                <w:sz w:val="24"/>
                <w:szCs w:val="24"/>
              </w:rPr>
              <w:t>日</w:t>
            </w:r>
            <w:r>
              <w:rPr>
                <w:rFonts w:hint="eastAsia" w:ascii="仿宋_GB2312" w:hAnsi="仿宋_GB2312" w:eastAsia="仿宋_GB2312" w:cs="仿宋_GB2312"/>
                <w:color w:val="auto"/>
                <w:kern w:val="0"/>
                <w:sz w:val="24"/>
                <w:szCs w:val="24"/>
                <w:lang w:eastAsia="zh-CN"/>
              </w:rPr>
              <w:t>至</w:t>
            </w:r>
            <w:r>
              <w:rPr>
                <w:rFonts w:hint="eastAsia" w:ascii="仿宋_GB2312" w:hAnsi="仿宋_GB2312" w:eastAsia="仿宋_GB2312" w:cs="仿宋_GB2312"/>
                <w:color w:val="auto"/>
                <w:kern w:val="0"/>
                <w:sz w:val="24"/>
                <w:szCs w:val="24"/>
                <w:lang w:val="en-US" w:eastAsia="zh-CN"/>
              </w:rPr>
              <w:t>2023</w:t>
            </w:r>
            <w:r>
              <w:rPr>
                <w:rFonts w:hint="eastAsia" w:ascii="仿宋_GB2312" w:hAnsi="仿宋_GB2312" w:eastAsia="仿宋_GB2312" w:cs="仿宋_GB2312"/>
                <w:color w:val="auto"/>
                <w:kern w:val="0"/>
                <w:sz w:val="24"/>
                <w:szCs w:val="24"/>
              </w:rPr>
              <w:t>年12月31日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84" w:type="dxa"/>
            <w:right w:w="84" w:type="dxa"/>
          </w:tblCellMar>
        </w:tblPrEx>
        <w:trPr>
          <w:trHeight w:val="5131" w:hRule="atLeast"/>
        </w:trPr>
        <w:tc>
          <w:tcPr>
            <w:tcW w:w="1741"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hint="eastAsia" w:ascii="仿宋_GB2312" w:hAnsi="仿宋_GB2312" w:eastAsia="仿宋_GB2312" w:cs="仿宋_GB2312"/>
                <w:color w:val="333333"/>
                <w:kern w:val="0"/>
                <w:sz w:val="24"/>
                <w:szCs w:val="24"/>
              </w:rPr>
            </w:pPr>
            <w:r>
              <w:rPr>
                <w:rFonts w:hint="eastAsia" w:ascii="仿宋_GB2312" w:hAnsi="仿宋_GB2312" w:eastAsia="仿宋_GB2312" w:cs="仿宋_GB2312"/>
                <w:kern w:val="2"/>
                <w:sz w:val="24"/>
                <w:szCs w:val="24"/>
                <w:lang w:val="en-US" w:eastAsia="zh-CN" w:bidi="ar-SA"/>
              </w:rPr>
              <w:t>项目内容</w:t>
            </w:r>
          </w:p>
        </w:tc>
        <w:tc>
          <w:tcPr>
            <w:tcW w:w="8160" w:type="dxa"/>
            <w:gridSpan w:val="6"/>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kinsoku/>
              <w:wordWrap/>
              <w:overflowPunct/>
              <w:topLinePunct w:val="0"/>
              <w:autoSpaceDE/>
              <w:autoSpaceDN/>
              <w:bidi w:val="0"/>
              <w:adjustRightInd/>
              <w:snapToGrid/>
              <w:spacing w:line="0" w:lineRule="atLeast"/>
              <w:ind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2023年度深圳市社会组织交流服务展示点项目”是由深圳市社会组织管理局创新设立，通过构建30个与深圳经济社会密切相关领域的交流服务展示点（以下简称“展示点”），多方位、多维度、多途径展示社会组织对经济社会发展的推动作用和积极影响。</w:t>
            </w:r>
          </w:p>
          <w:p>
            <w:pPr>
              <w:keepNext w:val="0"/>
              <w:keepLines w:val="0"/>
              <w:pageBreakBefore w:val="0"/>
              <w:widowControl w:val="0"/>
              <w:kinsoku/>
              <w:wordWrap/>
              <w:overflowPunct/>
              <w:topLinePunct w:val="0"/>
              <w:autoSpaceDE/>
              <w:autoSpaceDN/>
              <w:bidi w:val="0"/>
              <w:adjustRightInd/>
              <w:snapToGrid/>
              <w:spacing w:line="0" w:lineRule="atLeast"/>
              <w:ind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展示点汇集交流、服务、展示、引领功能，筑牢社会组织基层服务新阵地，推动培育发展战略性新兴产业领域社会组织，充分发挥社会组织在服务深圳经济发展和</w:t>
            </w:r>
            <w:r>
              <w:rPr>
                <w:rFonts w:hint="default" w:ascii="仿宋_GB2312" w:hAnsi="仿宋_GB2312" w:eastAsia="仿宋_GB2312" w:cs="仿宋_GB2312"/>
                <w:kern w:val="2"/>
                <w:sz w:val="24"/>
                <w:szCs w:val="24"/>
                <w:lang w:eastAsia="zh-CN" w:bidi="ar-SA"/>
              </w:rPr>
              <w:t>市委</w:t>
            </w:r>
            <w:r>
              <w:rPr>
                <w:rFonts w:hint="eastAsia" w:ascii="仿宋_GB2312" w:hAnsi="仿宋_GB2312" w:eastAsia="仿宋_GB2312" w:cs="仿宋_GB2312"/>
                <w:kern w:val="2"/>
                <w:sz w:val="24"/>
                <w:szCs w:val="24"/>
                <w:lang w:val="en-US" w:eastAsia="zh-CN" w:bidi="ar-SA"/>
              </w:rPr>
              <w:t>市政府重大战略布局中的积极作用，既是落实深圳市“20+8”产业布局的具体体现，也是对《深圳经济特区矛盾纠纷多元化解条例》在社会组织领域的成功应用，呈现出全面调动社会组织参与、打破单一主体展示点物理空间、实现动态管理的新特点。推动深圳社会组织发展继续先行示范走在前列，积极引导社会组织服务国家、服务社会、服务群众、服务行业，打造充分发挥社会组织作用、服务改革开放和经济社会发展的深圳范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84" w:type="dxa"/>
            <w:right w:w="84" w:type="dxa"/>
          </w:tblCellMar>
        </w:tblPrEx>
        <w:trPr>
          <w:trHeight w:val="10160" w:hRule="atLeast"/>
        </w:trPr>
        <w:tc>
          <w:tcPr>
            <w:tcW w:w="1741"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hint="eastAsia" w:ascii="仿宋_GB2312" w:hAnsi="仿宋_GB2312" w:eastAsia="仿宋_GB2312" w:cs="仿宋_GB2312"/>
                <w:color w:val="333333"/>
                <w:kern w:val="0"/>
                <w:szCs w:val="21"/>
              </w:rPr>
            </w:pPr>
            <w:r>
              <w:rPr>
                <w:rFonts w:hint="eastAsia" w:ascii="仿宋_GB2312" w:hAnsi="仿宋_GB2312" w:eastAsia="仿宋_GB2312" w:cs="仿宋_GB2312"/>
                <w:kern w:val="2"/>
                <w:sz w:val="24"/>
                <w:szCs w:val="24"/>
                <w:lang w:val="en-US" w:eastAsia="zh-CN" w:bidi="ar-SA"/>
              </w:rPr>
              <w:t>项目效果</w:t>
            </w:r>
          </w:p>
        </w:tc>
        <w:tc>
          <w:tcPr>
            <w:tcW w:w="8160" w:type="dxa"/>
            <w:gridSpan w:val="6"/>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80" w:firstLineChars="200"/>
              <w:textAlignment w:val="auto"/>
              <w:rPr>
                <w:rFonts w:hint="eastAsia" w:ascii="CESI黑体-GB2312" w:hAnsi="CESI黑体-GB2312" w:eastAsia="CESI黑体-GB2312" w:cs="CESI黑体-GB2312"/>
                <w:b w:val="0"/>
                <w:bCs w:val="0"/>
                <w:kern w:val="2"/>
                <w:sz w:val="24"/>
                <w:szCs w:val="24"/>
                <w:lang w:val="en-US" w:eastAsia="zh-CN" w:bidi="ar-SA"/>
              </w:rPr>
            </w:pPr>
            <w:r>
              <w:rPr>
                <w:rFonts w:hint="eastAsia" w:ascii="CESI黑体-GB2312" w:hAnsi="CESI黑体-GB2312" w:eastAsia="CESI黑体-GB2312" w:cs="CESI黑体-GB2312"/>
                <w:b w:val="0"/>
                <w:bCs w:val="0"/>
                <w:kern w:val="2"/>
                <w:sz w:val="24"/>
                <w:szCs w:val="24"/>
                <w:lang w:val="en-US" w:eastAsia="zh-CN" w:bidi="ar-SA"/>
              </w:rPr>
              <w:t>一、全流程统筹指导</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市社会组织管理局跟踪指导30个展示点积极搭建党建、交流、服务、宣传、信息等功能平台，坚持党建引领贯穿服务全过程，充分发挥示范引领作用。</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81" w:firstLineChars="200"/>
              <w:textAlignment w:val="auto"/>
              <w:rPr>
                <w:rFonts w:hint="eastAsia" w:ascii="仿宋_GB2312" w:hAnsi="仿宋_GB2312" w:eastAsia="仿宋_GB2312" w:cs="仿宋_GB2312"/>
                <w:kern w:val="2"/>
                <w:sz w:val="24"/>
                <w:szCs w:val="24"/>
                <w:lang w:val="en-US" w:eastAsia="zh-CN" w:bidi="ar-SA"/>
              </w:rPr>
            </w:pPr>
            <w:r>
              <w:rPr>
                <w:rFonts w:hint="eastAsia" w:ascii="楷体_GB2312" w:hAnsi="楷体_GB2312" w:eastAsia="楷体_GB2312" w:cs="楷体_GB2312"/>
                <w:b/>
                <w:bCs/>
                <w:kern w:val="2"/>
                <w:sz w:val="24"/>
                <w:szCs w:val="24"/>
                <w:lang w:val="en-US" w:eastAsia="zh-CN" w:bidi="ar-SA"/>
              </w:rPr>
              <w:t>（一）多层次多形式全流程跟踪指导服务30个展示点。</w:t>
            </w:r>
            <w:r>
              <w:rPr>
                <w:rFonts w:hint="eastAsia" w:ascii="仿宋_GB2312" w:hAnsi="仿宋_GB2312" w:eastAsia="仿宋_GB2312" w:cs="仿宋_GB2312"/>
                <w:kern w:val="2"/>
                <w:sz w:val="24"/>
                <w:szCs w:val="24"/>
                <w:lang w:val="en-US" w:eastAsia="zh-CN" w:bidi="ar-SA"/>
              </w:rPr>
              <w:t>通过领导干部挂点调研、运营方带领展示点联合举办活动、精准走访与个性化辅导、集中与单一、远程与现场等多形式，开展统筹指导服务。</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1.健全常态沟通联络机制，完善制度建设与工作指引。</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2.通过指导展示点联合举办活动与走访辅导相结合，分5个小组开展日常督导走访60余次，特别策划了5场党建品牌创建活动。</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3.引导社会组织服务大局，召开“130鹏城千社助就业”行动誓师大会、开展深圳社会组织促就业成果展暨社会组织人才发展论坛、开展社会组织参与社会治理研讨会暨社会组织蓝皮书及调解模型发布会。</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4.提升展示点品牌影响力，参加第十届慈展会、南方科技大学第三届校园公益展等，展示社会组织交流服务展示点项目特色；制作展示点成果宣传册和社会组织《观察》专刊；各类媒体</w:t>
            </w:r>
            <w:r>
              <w:rPr>
                <w:rFonts w:hint="default" w:ascii="仿宋_GB2312" w:hAnsi="仿宋_GB2312" w:eastAsia="仿宋_GB2312" w:cs="仿宋_GB2312"/>
                <w:kern w:val="2"/>
                <w:sz w:val="24"/>
                <w:szCs w:val="24"/>
                <w:lang w:eastAsia="zh-CN" w:bidi="ar-SA"/>
              </w:rPr>
              <w:t>进行了宣传</w:t>
            </w:r>
            <w:r>
              <w:rPr>
                <w:rFonts w:hint="eastAsia" w:ascii="仿宋_GB2312" w:hAnsi="仿宋_GB2312" w:eastAsia="仿宋_GB2312" w:cs="仿宋_GB2312"/>
                <w:kern w:val="2"/>
                <w:sz w:val="24"/>
                <w:szCs w:val="24"/>
                <w:lang w:val="en-US" w:eastAsia="zh-CN" w:bidi="ar-SA"/>
              </w:rPr>
              <w:t>报道。</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81" w:firstLineChars="200"/>
              <w:textAlignment w:val="auto"/>
              <w:rPr>
                <w:rFonts w:hint="eastAsia" w:ascii="仿宋_GB2312" w:hAnsi="仿宋_GB2312" w:eastAsia="仿宋_GB2312" w:cs="仿宋_GB2312"/>
                <w:kern w:val="2"/>
                <w:sz w:val="24"/>
                <w:szCs w:val="24"/>
                <w:lang w:val="en-US" w:eastAsia="zh-CN" w:bidi="ar-SA"/>
              </w:rPr>
            </w:pPr>
            <w:r>
              <w:rPr>
                <w:rFonts w:hint="eastAsia" w:ascii="楷体_GB2312" w:hAnsi="楷体_GB2312" w:eastAsia="楷体_GB2312" w:cs="楷体_GB2312"/>
                <w:b/>
                <w:bCs/>
                <w:kern w:val="2"/>
                <w:sz w:val="24"/>
                <w:szCs w:val="24"/>
                <w:lang w:val="en-US" w:eastAsia="zh-CN" w:bidi="ar-SA"/>
              </w:rPr>
              <w:t>（二）搭建党建平台。</w:t>
            </w:r>
            <w:r>
              <w:rPr>
                <w:rFonts w:hint="eastAsia" w:ascii="仿宋_GB2312" w:hAnsi="仿宋_GB2312" w:eastAsia="仿宋_GB2312" w:cs="仿宋_GB2312"/>
                <w:kern w:val="2"/>
                <w:sz w:val="24"/>
                <w:szCs w:val="24"/>
                <w:lang w:val="en-US" w:eastAsia="zh-CN" w:bidi="ar-SA"/>
              </w:rPr>
              <w:t>展示点在党建方面充分发挥党建引领高质量发展的“红色引擎”作用，将党建与业务发展有机融合，以“联学、联建、联动”为抓手，累计打造“党建+N计划”“鹏程七月红”等党建品牌共44个，实现党建与行业发展同频共振、互促共进</w:t>
            </w:r>
            <w:r>
              <w:rPr>
                <w:rFonts w:hint="eastAsia" w:ascii="仿宋_GB2312" w:hAnsi="仿宋_GB2312" w:eastAsia="仿宋_GB2312" w:cs="仿宋_GB2312"/>
                <w:kern w:val="2"/>
                <w:sz w:val="24"/>
                <w:szCs w:val="24"/>
                <w:lang w:eastAsia="zh-CN" w:bidi="ar-SA"/>
              </w:rPr>
              <w:t>。如，</w:t>
            </w:r>
            <w:r>
              <w:rPr>
                <w:rFonts w:hint="eastAsia" w:ascii="仿宋_GB2312" w:hAnsi="仿宋_GB2312" w:eastAsia="仿宋_GB2312" w:cs="仿宋_GB2312"/>
                <w:kern w:val="2"/>
                <w:sz w:val="24"/>
                <w:szCs w:val="24"/>
                <w:lang w:val="en-US" w:eastAsia="zh-CN" w:bidi="ar-SA"/>
              </w:rPr>
              <w:t>党建引领领域展示点深圳市智慧安防行业协会不断深入探索党建品牌培育路径，坚持围绕中心抓党建、抓好党建促发展，2023年开展“党建引领业务发展，业务交流共提升”系列主题党建联学联建、结对共建活动8场次，通过党建联建组织500余名企业代表走进名企，为百余家行业企业带来业务方面的合作与发展。</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81" w:firstLineChars="200"/>
              <w:textAlignment w:val="auto"/>
              <w:rPr>
                <w:rFonts w:hint="eastAsia" w:ascii="仿宋_GB2312" w:hAnsi="仿宋_GB2312" w:eastAsia="仿宋_GB2312" w:cs="仿宋_GB2312"/>
                <w:kern w:val="2"/>
                <w:sz w:val="24"/>
                <w:szCs w:val="24"/>
                <w:lang w:val="en-US" w:eastAsia="zh-CN" w:bidi="ar-SA"/>
              </w:rPr>
            </w:pPr>
            <w:r>
              <w:rPr>
                <w:rFonts w:hint="eastAsia" w:ascii="楷体_GB2312" w:hAnsi="楷体_GB2312" w:eastAsia="楷体_GB2312" w:cs="楷体_GB2312"/>
                <w:b/>
                <w:bCs/>
                <w:kern w:val="2"/>
                <w:sz w:val="24"/>
                <w:szCs w:val="24"/>
                <w:lang w:val="en-US" w:eastAsia="zh-CN" w:bidi="ar-SA"/>
              </w:rPr>
              <w:t>（三）搭建交流平台。</w:t>
            </w:r>
            <w:r>
              <w:rPr>
                <w:rFonts w:hint="eastAsia" w:ascii="仿宋_GB2312" w:hAnsi="仿宋_GB2312" w:eastAsia="仿宋_GB2312" w:cs="仿宋_GB2312"/>
                <w:kern w:val="2"/>
                <w:sz w:val="24"/>
                <w:szCs w:val="24"/>
                <w:lang w:val="en-US" w:eastAsia="zh-CN" w:bidi="ar-SA"/>
              </w:rPr>
              <w:t>展示点积极搭建行业领域沟通的桥梁纽带，依托自身资源优势开展政策研究、人才培养及品牌活动，累计开展各类交流活动1600余次，举办人才培训交流活动20余场，为推进深圳“双招双引”和“20+8”产业布局贡献了社会组织力量。如，内部治理领域展示点深圳市商业联合会围绕服务高质量发展主题，先后策划举办“深企聊营商”“政企面对面”创新交流活动，协助福田区、河套深港科技创新合作区建设发展事务署在香港举办深圳福田及河套投资推介会等活动，促进了区域产业交流合作。</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81" w:firstLineChars="200"/>
              <w:textAlignment w:val="auto"/>
              <w:rPr>
                <w:rFonts w:hint="eastAsia" w:ascii="仿宋_GB2312" w:hAnsi="仿宋_GB2312" w:eastAsia="仿宋_GB2312" w:cs="仿宋_GB2312"/>
                <w:kern w:val="2"/>
                <w:sz w:val="24"/>
                <w:szCs w:val="24"/>
                <w:lang w:val="en-US" w:eastAsia="zh-CN" w:bidi="ar-SA"/>
              </w:rPr>
            </w:pPr>
            <w:r>
              <w:rPr>
                <w:rFonts w:hint="eastAsia" w:ascii="楷体_GB2312" w:hAnsi="楷体_GB2312" w:eastAsia="楷体_GB2312" w:cs="楷体_GB2312"/>
                <w:b/>
                <w:bCs/>
                <w:kern w:val="2"/>
                <w:sz w:val="24"/>
                <w:szCs w:val="24"/>
                <w:lang w:val="en-US" w:eastAsia="zh-CN" w:bidi="ar-SA"/>
              </w:rPr>
              <w:t>（四）搭建服务平台。</w:t>
            </w:r>
            <w:r>
              <w:rPr>
                <w:rFonts w:hint="eastAsia" w:ascii="仿宋_GB2312" w:hAnsi="仿宋_GB2312" w:eastAsia="仿宋_GB2312" w:cs="仿宋_GB2312"/>
                <w:kern w:val="2"/>
                <w:sz w:val="24"/>
                <w:szCs w:val="24"/>
                <w:lang w:val="en-US" w:eastAsia="zh-CN" w:bidi="ar-SA"/>
              </w:rPr>
              <w:t>展示点发挥枢纽型服务平台作用，积极凝聚本领域、本行业社会组织及企业共识，统计相关数据案例，及时收集并反馈困难问题和意见建议；协助登记管理机关开展服务工作，协调处理社会组织内部及会员企业矛盾纠纷。2023年，10个调解室共收集本领域、本行业反馈困难问题和意见建议等信息395条，其中受理矛盾纠纷111</w:t>
            </w:r>
            <w:r>
              <w:rPr>
                <w:rFonts w:hint="default" w:ascii="仿宋_GB2312" w:hAnsi="仿宋_GB2312" w:eastAsia="仿宋_GB2312" w:cs="仿宋_GB2312"/>
                <w:kern w:val="2"/>
                <w:sz w:val="24"/>
                <w:szCs w:val="24"/>
                <w:lang w:eastAsia="zh-CN" w:bidi="ar-SA"/>
              </w:rPr>
              <w:t>件</w:t>
            </w:r>
            <w:r>
              <w:rPr>
                <w:rFonts w:hint="eastAsia" w:ascii="仿宋_GB2312" w:hAnsi="仿宋_GB2312" w:eastAsia="仿宋_GB2312" w:cs="仿宋_GB2312"/>
                <w:kern w:val="2"/>
                <w:sz w:val="24"/>
                <w:szCs w:val="24"/>
                <w:lang w:val="en-US" w:eastAsia="zh-CN" w:bidi="ar-SA"/>
              </w:rPr>
              <w:t>，成功解决76件，涉及社会组织换届、知识产权、资金纠纷等。</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81"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（五）搭建宣传平台。</w:t>
            </w:r>
            <w:r>
              <w:rPr>
                <w:rFonts w:hint="eastAsia" w:ascii="仿宋_GB2312" w:hAnsi="仿宋_GB2312" w:eastAsia="仿宋_GB2312" w:cs="仿宋_GB2312"/>
                <w:kern w:val="2"/>
                <w:sz w:val="24"/>
                <w:szCs w:val="24"/>
                <w:lang w:val="en-US" w:eastAsia="zh-CN" w:bidi="ar-SA"/>
              </w:rPr>
              <w:t>展示点多渠道、多形式构建宣传矩阵，创新采用多种宣传渠道，通过积极参与第十届慈展会、南方科技大学第三届校园公益展等展会、在“i深圳”小程序更新和推广30个展示点VR云展厅、编制印发展示点成果宣传册以及深圳社会组织《观察》专刊、与有影响力的媒体进行合作等方式，不断加强对项目的宣传力度。2023年，“i深圳”小程序发布新闻315篇，各类媒体对展示点宣传报道1338次，编印宣传资料超10000份。项目于2023、2024年连续两年被列入深圳建设中国特色社会主义先行示范区、深圳市委全面依法治市委员会全市重点工作，荣获2023深圳城市治理创新十大“入围案例”；上海、武汉等地纷纷学习借鉴试点工作经验，并在当地开启社会组织矛盾纠纷调解工作。</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81" w:firstLineChars="200"/>
              <w:textAlignment w:val="auto"/>
              <w:rPr>
                <w:rFonts w:hint="eastAsia" w:ascii="仿宋_GB2312" w:hAnsi="仿宋_GB2312" w:eastAsia="仿宋_GB2312" w:cs="仿宋_GB2312"/>
                <w:kern w:val="2"/>
                <w:sz w:val="24"/>
                <w:szCs w:val="24"/>
                <w:lang w:val="en-US" w:eastAsia="zh-CN" w:bidi="ar-SA"/>
              </w:rPr>
            </w:pPr>
            <w:r>
              <w:rPr>
                <w:rFonts w:hint="eastAsia" w:ascii="楷体_GB2312" w:hAnsi="楷体_GB2312" w:eastAsia="楷体_GB2312" w:cs="楷体_GB2312"/>
                <w:b/>
                <w:bCs/>
                <w:kern w:val="2"/>
                <w:sz w:val="24"/>
                <w:szCs w:val="24"/>
                <w:lang w:val="en-US" w:eastAsia="zh-CN" w:bidi="ar-SA"/>
              </w:rPr>
              <w:t>（六）服务民生社会事业。</w:t>
            </w:r>
            <w:r>
              <w:rPr>
                <w:rFonts w:hint="eastAsia" w:ascii="仿宋_GB2312" w:hAnsi="仿宋_GB2312" w:eastAsia="仿宋_GB2312" w:cs="仿宋_GB2312"/>
                <w:b w:val="0"/>
                <w:bCs w:val="0"/>
                <w:kern w:val="2"/>
                <w:sz w:val="24"/>
                <w:szCs w:val="24"/>
                <w:lang w:val="en-US" w:eastAsia="zh-CN" w:bidi="ar-SA"/>
              </w:rPr>
              <w:t>3</w:t>
            </w:r>
            <w:r>
              <w:rPr>
                <w:rFonts w:hint="eastAsia" w:ascii="仿宋_GB2312" w:hAnsi="仿宋_GB2312" w:eastAsia="仿宋_GB2312" w:cs="仿宋_GB2312"/>
                <w:kern w:val="2"/>
                <w:sz w:val="24"/>
                <w:szCs w:val="24"/>
                <w:lang w:val="en-US" w:eastAsia="zh-CN" w:bidi="ar-SA"/>
              </w:rPr>
              <w:t>0个展示点结合展示领域定位和运营机构主责主业，在开展公益慈善服务、助推乡村振兴及推进基层社会治理方面累计开展活动98次，充分展现了社会组织的担当作为。如，教育事业领域展示点深圳市洲明公益基金会积极探索乡村振兴背景下教育振兴模式，先后对接多个偏远乡村学校，并结合自身资源优势组织开展“点亮乡村”捐助路灯、“点亮未来”捐赠图书等多个公益项目，积极改善偏远乡村地区交通照明、学校图书资源不足等问题，持续助力乡村振兴。</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80" w:firstLineChars="200"/>
              <w:textAlignment w:val="auto"/>
              <w:rPr>
                <w:rFonts w:hint="eastAsia" w:ascii="CESI黑体-GB2312" w:hAnsi="CESI黑体-GB2312" w:eastAsia="CESI黑体-GB2312" w:cs="CESI黑体-GB2312"/>
                <w:b w:val="0"/>
                <w:bCs w:val="0"/>
                <w:kern w:val="2"/>
                <w:sz w:val="24"/>
                <w:szCs w:val="24"/>
                <w:lang w:val="en-US" w:eastAsia="zh-CN" w:bidi="ar-SA"/>
              </w:rPr>
            </w:pPr>
            <w:r>
              <w:rPr>
                <w:rFonts w:hint="eastAsia" w:ascii="CESI黑体-GB2312" w:hAnsi="CESI黑体-GB2312" w:eastAsia="CESI黑体-GB2312" w:cs="CESI黑体-GB2312"/>
                <w:b w:val="0"/>
                <w:bCs w:val="0"/>
                <w:kern w:val="2"/>
                <w:sz w:val="24"/>
                <w:szCs w:val="24"/>
                <w:lang w:val="en-US" w:eastAsia="zh-CN" w:bidi="ar-SA"/>
              </w:rPr>
              <w:t>二、提供能力建设培训</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通过线上线下、走进展示点、教授讲座等形式，多措并举提供与展示点运营服务内容相关的能力建设培训11场。</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80" w:firstLineChars="200"/>
              <w:textAlignment w:val="auto"/>
              <w:rPr>
                <w:rFonts w:hint="eastAsia" w:ascii="CESI黑体-GB2312" w:hAnsi="CESI黑体-GB2312" w:eastAsia="CESI黑体-GB2312" w:cs="CESI黑体-GB2312"/>
                <w:b w:val="0"/>
                <w:bCs w:val="0"/>
                <w:kern w:val="2"/>
                <w:sz w:val="24"/>
                <w:szCs w:val="24"/>
                <w:lang w:val="en-US" w:eastAsia="zh-CN" w:bidi="ar-SA"/>
              </w:rPr>
            </w:pPr>
            <w:r>
              <w:rPr>
                <w:rFonts w:hint="eastAsia" w:ascii="CESI黑体-GB2312" w:hAnsi="CESI黑体-GB2312" w:eastAsia="CESI黑体-GB2312" w:cs="CESI黑体-GB2312"/>
                <w:b w:val="0"/>
                <w:bCs w:val="0"/>
                <w:kern w:val="2"/>
                <w:sz w:val="24"/>
                <w:szCs w:val="24"/>
                <w:lang w:val="en-US" w:eastAsia="zh-CN" w:bidi="ar-SA"/>
              </w:rPr>
              <w:t>三、完善信息建设平台</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持续运营管理1个小程序和30个展示点</w:t>
            </w:r>
            <w:r>
              <w:rPr>
                <w:rFonts w:hint="eastAsia" w:ascii="仿宋_GB2312" w:hAnsi="仿宋_GB2312" w:eastAsia="仿宋_GB2312" w:cs="仿宋_GB2312"/>
                <w:sz w:val="24"/>
                <w:szCs w:val="24"/>
              </w:rPr>
              <w:t>VR云展厅。采用“音频介绍+VR画面”同步呈现的形式，实现线上与线下展示相结合、动静态相结合的可视化线上平台，打破展示点物理空间上的限制，进一步拓展</w:t>
            </w:r>
            <w:r>
              <w:rPr>
                <w:rFonts w:hint="eastAsia" w:ascii="仿宋_GB2312" w:hAnsi="仿宋_GB2312" w:eastAsia="仿宋_GB2312" w:cs="仿宋_GB2312"/>
                <w:sz w:val="24"/>
                <w:szCs w:val="24"/>
                <w:lang w:eastAsia="zh-CN"/>
              </w:rPr>
              <w:t>了</w:t>
            </w:r>
            <w:r>
              <w:rPr>
                <w:rFonts w:hint="eastAsia" w:ascii="仿宋_GB2312" w:hAnsi="仿宋_GB2312" w:eastAsia="仿宋_GB2312" w:cs="仿宋_GB2312"/>
                <w:sz w:val="24"/>
                <w:szCs w:val="24"/>
              </w:rPr>
              <w:t>深圳市社会组织交流服务展示点的影响力和传播</w:t>
            </w:r>
            <w:r>
              <w:rPr>
                <w:rFonts w:hint="eastAsia" w:ascii="仿宋_GB2312" w:hAnsi="仿宋_GB2312" w:eastAsia="仿宋_GB2312" w:cs="仿宋_GB2312"/>
                <w:sz w:val="24"/>
                <w:szCs w:val="24"/>
                <w:lang w:eastAsia="zh-CN"/>
              </w:rPr>
              <w:t>范围</w:t>
            </w:r>
            <w:r>
              <w:rPr>
                <w:rFonts w:hint="eastAsia" w:ascii="仿宋_GB2312" w:hAnsi="仿宋_GB2312" w:eastAsia="仿宋_GB2312" w:cs="仿宋_GB2312"/>
                <w:sz w:val="24"/>
                <w:szCs w:val="24"/>
              </w:rPr>
              <w:t>。</w:t>
            </w:r>
          </w:p>
          <w:p>
            <w:pPr>
              <w:bidi w:val="0"/>
              <w:rPr>
                <w:rFonts w:hint="eastAsia" w:ascii="仿宋_GB2312" w:hAnsi="仿宋_GB2312" w:eastAsia="仿宋_GB2312" w:cs="仿宋_GB2312"/>
              </w:rPr>
            </w:pPr>
          </w:p>
          <w:p>
            <w:pPr>
              <w:bidi w:val="0"/>
              <w:rPr>
                <w:rFonts w:hint="eastAsia" w:ascii="仿宋_GB2312" w:hAnsi="仿宋_GB2312" w:eastAsia="仿宋_GB2312" w:cs="仿宋_GB2312"/>
              </w:rPr>
            </w:pPr>
          </w:p>
          <w:p>
            <w:pPr>
              <w:bidi w:val="0"/>
              <w:rPr>
                <w:rFonts w:hint="eastAsia" w:ascii="仿宋_GB2312" w:hAnsi="仿宋_GB2312" w:eastAsia="仿宋_GB2312" w:cs="仿宋_GB2312"/>
              </w:rPr>
            </w:pPr>
          </w:p>
          <w:p>
            <w:pPr>
              <w:tabs>
                <w:tab w:val="left" w:pos="2336"/>
              </w:tabs>
              <w:bidi w:val="0"/>
              <w:jc w:val="left"/>
              <w:rPr>
                <w:rFonts w:hint="eastAsia" w:ascii="仿宋_GB2312" w:hAnsi="仿宋_GB2312" w:eastAsia="仿宋_GB2312" w:cs="仿宋_GB2312"/>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84" w:type="dxa"/>
            <w:right w:w="84" w:type="dxa"/>
          </w:tblCellMar>
        </w:tblPrEx>
        <w:trPr>
          <w:trHeight w:val="8371" w:hRule="atLeast"/>
        </w:trPr>
        <w:tc>
          <w:tcPr>
            <w:tcW w:w="1741" w:type="dxa"/>
            <w:tcBorders>
              <w:top w:val="single" w:color="000000" w:sz="4" w:space="0"/>
              <w:left w:val="single" w:color="000000" w:sz="4" w:space="0"/>
              <w:bottom w:val="single" w:color="000000" w:sz="4" w:space="0"/>
              <w:right w:val="single" w:color="000000" w:sz="4" w:space="0"/>
            </w:tcBorders>
            <w:vAlign w:val="center"/>
          </w:tcPr>
          <w:p>
            <w:pPr>
              <w:widowControl/>
              <w:spacing w:line="0" w:lineRule="atLeast"/>
              <w:jc w:val="center"/>
              <w:rPr>
                <w:rFonts w:ascii="宋体" w:hAnsi="宋体" w:cs="宋体"/>
                <w:color w:val="333333"/>
                <w:kern w:val="0"/>
                <w:szCs w:val="21"/>
              </w:rPr>
            </w:pPr>
            <w:r>
              <w:rPr>
                <w:rFonts w:hint="eastAsia" w:ascii="仿宋_GB2312" w:hAnsi="仿宋_GB2312" w:eastAsia="仿宋_GB2312" w:cs="仿宋_GB2312"/>
                <w:kern w:val="2"/>
                <w:sz w:val="24"/>
                <w:szCs w:val="24"/>
                <w:lang w:val="en-US" w:eastAsia="zh-CN" w:bidi="ar-SA"/>
              </w:rPr>
              <w:t>图片资料信息</w:t>
            </w:r>
          </w:p>
        </w:tc>
        <w:tc>
          <w:tcPr>
            <w:tcW w:w="8160" w:type="dxa"/>
            <w:gridSpan w:val="6"/>
            <w:tcBorders>
              <w:top w:val="single" w:color="000000" w:sz="4" w:space="0"/>
              <w:left w:val="single" w:color="000000" w:sz="4" w:space="0"/>
              <w:bottom w:val="single" w:color="000000" w:sz="4" w:space="0"/>
              <w:right w:val="single" w:color="000000" w:sz="4" w:space="0"/>
            </w:tcBorders>
          </w:tcPr>
          <w:p>
            <w:pPr>
              <w:pStyle w:val="4"/>
              <w:rPr>
                <w:rFonts w:hint="eastAsia"/>
                <w:lang w:val="en-US" w:eastAsia="zh-CN"/>
              </w:rPr>
            </w:pPr>
            <w:r>
              <w:rPr>
                <w:rFonts w:hint="eastAsia" w:ascii="仿宋" w:hAnsi="仿宋" w:eastAsia="仿宋" w:cs="仿宋"/>
                <w:sz w:val="24"/>
                <w:szCs w:val="24"/>
                <w:lang w:eastAsia="zh-CN"/>
              </w:rPr>
              <w:drawing>
                <wp:inline distT="0" distB="0" distL="114300" distR="114300">
                  <wp:extent cx="4113530" cy="3086100"/>
                  <wp:effectExtent l="0" t="0" r="1270" b="0"/>
                  <wp:docPr id="120" name="图片 120" descr="a335c14a99d2e420fdb1447aa8944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a335c14a99d2e420fdb1447aa89442c"/>
                          <pic:cNvPicPr>
                            <a:picLocks noChangeAspect="1"/>
                          </pic:cNvPicPr>
                        </pic:nvPicPr>
                        <pic:blipFill>
                          <a:blip r:embed="rId5"/>
                          <a:stretch>
                            <a:fillRect/>
                          </a:stretch>
                        </pic:blipFill>
                        <pic:spPr>
                          <a:xfrm>
                            <a:off x="0" y="0"/>
                            <a:ext cx="4113530" cy="3086100"/>
                          </a:xfrm>
                          <a:prstGeom prst="rect">
                            <a:avLst/>
                          </a:prstGeom>
                        </pic:spPr>
                      </pic:pic>
                    </a:graphicData>
                  </a:graphic>
                </wp:inline>
              </w:drawing>
            </w:r>
          </w:p>
          <w:p>
            <w:pPr>
              <w:pStyle w:val="4"/>
            </w:pPr>
            <w:r>
              <w:rPr>
                <w:rFonts w:hint="eastAsia" w:ascii="仿宋" w:hAnsi="仿宋" w:eastAsia="仿宋" w:cs="仿宋"/>
                <w:spacing w:val="-3"/>
                <w:sz w:val="24"/>
                <w:szCs w:val="24"/>
                <w:vertAlign w:val="baseline"/>
                <w:lang w:eastAsia="zh-CN"/>
              </w:rPr>
              <w:drawing>
                <wp:inline distT="0" distB="0" distL="114300" distR="114300">
                  <wp:extent cx="4107815" cy="2738755"/>
                  <wp:effectExtent l="0" t="0" r="6985" b="4445"/>
                  <wp:docPr id="47" name="图片 47" descr="2260f3cf9844c5e098aad63357ef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260f3cf9844c5e098aad63357ef48c"/>
                          <pic:cNvPicPr>
                            <a:picLocks noChangeAspect="1"/>
                          </pic:cNvPicPr>
                        </pic:nvPicPr>
                        <pic:blipFill>
                          <a:blip r:embed="rId6"/>
                          <a:stretch>
                            <a:fillRect/>
                          </a:stretch>
                        </pic:blipFill>
                        <pic:spPr>
                          <a:xfrm>
                            <a:off x="0" y="0"/>
                            <a:ext cx="4107815" cy="273875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80" w:firstLineChars="200"/>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前往深圳市社会组织总会、深圳市政府采购协会开展日常走访指导</w:t>
            </w:r>
          </w:p>
          <w:p>
            <w:pPr>
              <w:pStyle w:val="2"/>
              <w:jc w:val="center"/>
              <w:rPr>
                <w:rFonts w:hint="eastAsia"/>
                <w:lang w:eastAsia="zh-CN"/>
              </w:rPr>
            </w:pPr>
          </w:p>
          <w:p>
            <w:pPr>
              <w:pStyle w:val="4"/>
              <w:rPr>
                <w:rFonts w:hint="eastAsia" w:ascii="Calibri" w:hAnsi="Calibri" w:eastAsia="宋体" w:cs="Times New Roman"/>
                <w:b w:val="0"/>
                <w:kern w:val="2"/>
                <w:sz w:val="21"/>
                <w:szCs w:val="22"/>
                <w:lang w:val="en-US" w:eastAsia="zh-CN" w:bidi="ar-SA"/>
              </w:rPr>
            </w:pPr>
            <w:r>
              <w:rPr>
                <w:rFonts w:hint="eastAsia"/>
                <w:lang w:eastAsia="zh-CN"/>
              </w:rPr>
              <w:tab/>
            </w:r>
          </w:p>
          <w:p>
            <w:pPr>
              <w:pStyle w:val="4"/>
              <w:spacing w:line="240" w:lineRule="auto"/>
              <w:ind w:left="0" w:leftChars="0" w:firstLine="0" w:firstLineChars="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4241800" cy="2676525"/>
                  <wp:effectExtent l="0" t="0" r="6350" b="9525"/>
                  <wp:docPr id="16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7"/>
                          <pic:cNvPicPr>
                            <a:picLocks noChangeAspect="1"/>
                          </pic:cNvPicPr>
                        </pic:nvPicPr>
                        <pic:blipFill>
                          <a:blip r:embed="rId7"/>
                          <a:stretch>
                            <a:fillRect/>
                          </a:stretch>
                        </pic:blipFill>
                        <pic:spPr>
                          <a:xfrm>
                            <a:off x="0" y="0"/>
                            <a:ext cx="4241800" cy="2676525"/>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4234815" cy="2630805"/>
                  <wp:effectExtent l="0" t="0" r="13335" b="17145"/>
                  <wp:docPr id="163" name="图片 163" descr="169708929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1697089294234"/>
                          <pic:cNvPicPr>
                            <a:picLocks noChangeAspect="1"/>
                          </pic:cNvPicPr>
                        </pic:nvPicPr>
                        <pic:blipFill>
                          <a:blip r:embed="rId8"/>
                          <a:stretch>
                            <a:fillRect/>
                          </a:stretch>
                        </pic:blipFill>
                        <pic:spPr>
                          <a:xfrm>
                            <a:off x="0" y="0"/>
                            <a:ext cx="4234815" cy="2630805"/>
                          </a:xfrm>
                          <a:prstGeom prst="rect">
                            <a:avLst/>
                          </a:prstGeom>
                        </pic:spPr>
                      </pic:pic>
                    </a:graphicData>
                  </a:graphic>
                </wp:inline>
              </w:drawing>
            </w:r>
          </w:p>
          <w:p>
            <w:pPr>
              <w:pStyle w:val="4"/>
              <w:spacing w:line="240" w:lineRule="auto"/>
              <w:ind w:left="0" w:leftChars="0" w:firstLine="0" w:firstLineChars="0"/>
              <w:jc w:val="center"/>
              <w:rPr>
                <w:rFonts w:hint="eastAsia" w:ascii="仿宋_GB2312" w:hAnsi="仿宋_GB2312" w:eastAsia="仿宋_GB2312" w:cs="仿宋_GB2312"/>
                <w:b w:val="0"/>
                <w:kern w:val="2"/>
                <w:sz w:val="24"/>
                <w:szCs w:val="24"/>
                <w:lang w:val="en-US" w:eastAsia="zh-CN" w:bidi="ar-SA"/>
              </w:rPr>
            </w:pPr>
            <w:r>
              <w:rPr>
                <w:rFonts w:hint="eastAsia" w:ascii="仿宋_GB2312" w:hAnsi="仿宋_GB2312" w:eastAsia="仿宋_GB2312" w:cs="仿宋_GB2312"/>
                <w:b w:val="0"/>
                <w:kern w:val="2"/>
                <w:sz w:val="24"/>
                <w:szCs w:val="24"/>
                <w:lang w:val="en-US" w:eastAsia="zh-CN" w:bidi="ar-SA"/>
              </w:rPr>
              <w:t>特邀调解员聘书发放</w:t>
            </w:r>
          </w:p>
          <w:p>
            <w:pPr>
              <w:pStyle w:val="4"/>
              <w:spacing w:line="240" w:lineRule="auto"/>
              <w:ind w:left="0" w:leftChars="0" w:firstLine="0" w:firstLineChars="0"/>
              <w:jc w:val="center"/>
              <w:rPr>
                <w:lang w:eastAsia="zh-CN"/>
              </w:rPr>
            </w:pPr>
            <w:r>
              <w:rPr>
                <w:lang w:eastAsia="zh-CN"/>
              </w:rPr>
              <w:drawing>
                <wp:inline distT="0" distB="0" distL="114300" distR="114300">
                  <wp:extent cx="4680585" cy="3126740"/>
                  <wp:effectExtent l="0" t="0" r="5715" b="16510"/>
                  <wp:docPr id="19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5"/>
                          <pic:cNvPicPr>
                            <a:picLocks noChangeAspect="1"/>
                          </pic:cNvPicPr>
                        </pic:nvPicPr>
                        <pic:blipFill>
                          <a:blip r:embed="rId9"/>
                          <a:stretch>
                            <a:fillRect/>
                          </a:stretch>
                        </pic:blipFill>
                        <pic:spPr>
                          <a:xfrm>
                            <a:off x="0" y="0"/>
                            <a:ext cx="4680585" cy="3126740"/>
                          </a:xfrm>
                          <a:prstGeom prst="rect">
                            <a:avLst/>
                          </a:prstGeom>
                          <a:noFill/>
                          <a:ln>
                            <a:noFill/>
                          </a:ln>
                        </pic:spPr>
                      </pic:pic>
                    </a:graphicData>
                  </a:graphic>
                </wp:inline>
              </w:drawing>
            </w:r>
          </w:p>
          <w:p>
            <w:pPr>
              <w:pStyle w:val="4"/>
              <w:spacing w:line="240" w:lineRule="auto"/>
              <w:ind w:left="0" w:leftChars="0" w:firstLine="0" w:firstLineChars="0"/>
              <w:jc w:val="center"/>
              <w:rPr>
                <w:rFonts w:ascii="宋体" w:hAnsi="宋体" w:eastAsia="宋体" w:cs="宋体"/>
                <w:lang w:eastAsia="zh-CN"/>
              </w:rPr>
            </w:pPr>
            <w:r>
              <w:rPr>
                <w:rFonts w:hint="eastAsia" w:ascii="仿宋_GB2312" w:hAnsi="仿宋_GB2312" w:eastAsia="仿宋_GB2312" w:cs="仿宋_GB2312"/>
                <w:b w:val="0"/>
                <w:kern w:val="2"/>
                <w:sz w:val="24"/>
                <w:szCs w:val="24"/>
                <w:lang w:val="en-US" w:eastAsia="zh-CN" w:bidi="ar-SA"/>
              </w:rPr>
              <w:t>召开“130鹏城千社助就业”行动誓师大会</w:t>
            </w:r>
            <w:r>
              <w:rPr>
                <w:rFonts w:ascii="宋体" w:hAnsi="宋体" w:eastAsia="宋体" w:cs="宋体"/>
                <w:lang w:eastAsia="zh-CN"/>
              </w:rPr>
              <w:drawing>
                <wp:inline distT="0" distB="0" distL="114300" distR="114300">
                  <wp:extent cx="4530725" cy="3219450"/>
                  <wp:effectExtent l="0" t="0" r="3175" b="0"/>
                  <wp:docPr id="91" name="图片 91" descr="fd39c4f4e80d6994fda822b21b8c1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fd39c4f4e80d6994fda822b21b8c1a6"/>
                          <pic:cNvPicPr>
                            <a:picLocks noChangeAspect="1"/>
                          </pic:cNvPicPr>
                        </pic:nvPicPr>
                        <pic:blipFill>
                          <a:blip r:embed="rId10"/>
                          <a:stretch>
                            <a:fillRect/>
                          </a:stretch>
                        </pic:blipFill>
                        <pic:spPr>
                          <a:xfrm>
                            <a:off x="0" y="0"/>
                            <a:ext cx="4530725" cy="32194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80" w:firstLineChars="20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参加南方科技大学第三届校园公益展</w:t>
            </w:r>
          </w:p>
          <w:p>
            <w:pPr>
              <w:pStyle w:val="4"/>
              <w:spacing w:line="240" w:lineRule="auto"/>
              <w:ind w:left="0" w:leftChars="0" w:firstLine="0" w:firstLineChars="0"/>
              <w:jc w:val="center"/>
              <w:rPr>
                <w:rFonts w:hint="eastAsia"/>
                <w:lang w:eastAsia="zh-CN"/>
              </w:rPr>
            </w:pPr>
            <w:r>
              <w:rPr>
                <w:rFonts w:hint="eastAsia"/>
                <w:lang w:eastAsia="zh-CN"/>
              </w:rPr>
              <w:drawing>
                <wp:inline distT="0" distB="0" distL="114300" distR="114300">
                  <wp:extent cx="3980180" cy="2658110"/>
                  <wp:effectExtent l="0" t="0" r="1270" b="8890"/>
                  <wp:docPr id="142" name="图片 142" descr="IMG_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IMG_0233"/>
                          <pic:cNvPicPr>
                            <a:picLocks noChangeAspect="1"/>
                          </pic:cNvPicPr>
                        </pic:nvPicPr>
                        <pic:blipFill>
                          <a:blip r:embed="rId11"/>
                          <a:stretch>
                            <a:fillRect/>
                          </a:stretch>
                        </pic:blipFill>
                        <pic:spPr>
                          <a:xfrm>
                            <a:off x="0" y="0"/>
                            <a:ext cx="3980180" cy="26581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80" w:firstLineChars="20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“传承红色基因、赓续红色血脉”联学联建主题党日活动</w:t>
            </w:r>
          </w:p>
          <w:p>
            <w:pPr>
              <w:pStyle w:val="6"/>
              <w:ind w:firstLine="474" w:firstLineChars="0"/>
              <w:jc w:val="center"/>
            </w:pPr>
            <w:r>
              <w:rPr>
                <w:rFonts w:hint="eastAsia" w:ascii="宋体" w:hAnsi="宋体" w:eastAsia="宋体" w:cs="宋体"/>
                <w:sz w:val="24"/>
                <w:szCs w:val="24"/>
                <w:lang w:eastAsia="zh-CN"/>
              </w:rPr>
              <w:drawing>
                <wp:inline distT="0" distB="0" distL="114300" distR="114300">
                  <wp:extent cx="4317365" cy="3239135"/>
                  <wp:effectExtent l="0" t="0" r="6985" b="18415"/>
                  <wp:docPr id="8" name="图片 8" descr="6122a362d87e4fa69557244ea1823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122a362d87e4fa69557244ea18235a"/>
                          <pic:cNvPicPr>
                            <a:picLocks noChangeAspect="1"/>
                          </pic:cNvPicPr>
                        </pic:nvPicPr>
                        <pic:blipFill>
                          <a:blip r:embed="rId12"/>
                          <a:stretch>
                            <a:fillRect/>
                          </a:stretch>
                        </pic:blipFill>
                        <pic:spPr>
                          <a:xfrm>
                            <a:off x="0" y="0"/>
                            <a:ext cx="4317365" cy="3239135"/>
                          </a:xfrm>
                          <a:prstGeom prst="rect">
                            <a:avLst/>
                          </a:prstGeom>
                        </pic:spPr>
                      </pic:pic>
                    </a:graphicData>
                  </a:graphic>
                </wp:inline>
              </w:drawing>
            </w:r>
            <w:r>
              <w:rPr>
                <w:lang w:eastAsia="zh-CN"/>
              </w:rPr>
              <w:drawing>
                <wp:inline distT="0" distB="0" distL="114300" distR="114300">
                  <wp:extent cx="3863340" cy="2876550"/>
                  <wp:effectExtent l="0" t="0" r="3810" b="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13"/>
                          <a:stretch>
                            <a:fillRect/>
                          </a:stretch>
                        </pic:blipFill>
                        <pic:spPr>
                          <a:xfrm>
                            <a:off x="0" y="0"/>
                            <a:ext cx="3863340" cy="2876550"/>
                          </a:xfrm>
                          <a:prstGeom prst="rect">
                            <a:avLst/>
                          </a:prstGeom>
                          <a:noFill/>
                          <a:ln>
                            <a:noFill/>
                          </a:ln>
                        </pic:spPr>
                      </pic:pic>
                    </a:graphicData>
                  </a:graphic>
                </wp:inline>
              </w:drawing>
            </w:r>
          </w:p>
          <w:p>
            <w:pPr>
              <w:rPr>
                <w:rFonts w:hint="eastAsia"/>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80" w:firstLineChars="200"/>
              <w:jc w:val="center"/>
              <w:textAlignment w:val="auto"/>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能力建设培训</w:t>
            </w:r>
          </w:p>
          <w:p>
            <w:pPr>
              <w:tabs>
                <w:tab w:val="left" w:pos="954"/>
              </w:tabs>
              <w:rPr>
                <w:rFonts w:hint="eastAsia"/>
                <w:lang w:eastAsia="zh-CN"/>
              </w:rPr>
            </w:pPr>
            <w:r>
              <w:rPr>
                <w:rFonts w:hint="eastAsia"/>
                <w:lang w:eastAsia="zh-CN"/>
              </w:rPr>
              <w:tab/>
            </w:r>
          </w:p>
          <w:p>
            <w:pPr>
              <w:pStyle w:val="4"/>
              <w:ind w:firstLine="420" w:firstLineChars="200"/>
              <w:jc w:val="both"/>
              <w:rPr>
                <w:rFonts w:hint="eastAsia" w:ascii="Calibri" w:hAnsi="Calibri" w:eastAsia="宋体" w:cs="Times New Roman"/>
                <w:b w:val="0"/>
                <w:kern w:val="2"/>
                <w:sz w:val="21"/>
                <w:szCs w:val="22"/>
                <w:lang w:val="en-US" w:eastAsia="zh-CN" w:bidi="ar-SA"/>
              </w:rPr>
            </w:pPr>
          </w:p>
          <w:p>
            <w:pPr>
              <w:jc w:val="center"/>
              <w:rPr>
                <w:lang w:eastAsia="zh-CN"/>
              </w:rPr>
            </w:pPr>
            <w:r>
              <w:rPr>
                <w:lang w:eastAsia="zh-CN"/>
              </w:rPr>
              <w:drawing>
                <wp:inline distT="0" distB="0" distL="114300" distR="114300">
                  <wp:extent cx="4027805" cy="2682875"/>
                  <wp:effectExtent l="0" t="0" r="10795" b="3175"/>
                  <wp:docPr id="2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5"/>
                          <pic:cNvPicPr>
                            <a:picLocks noChangeAspect="1"/>
                          </pic:cNvPicPr>
                        </pic:nvPicPr>
                        <pic:blipFill>
                          <a:blip r:embed="rId14"/>
                          <a:stretch>
                            <a:fillRect/>
                          </a:stretch>
                        </pic:blipFill>
                        <pic:spPr>
                          <a:xfrm>
                            <a:off x="0" y="0"/>
                            <a:ext cx="4027805" cy="2682875"/>
                          </a:xfrm>
                          <a:prstGeom prst="rect">
                            <a:avLst/>
                          </a:prstGeom>
                          <a:noFill/>
                          <a:ln>
                            <a:noFill/>
                          </a:ln>
                        </pic:spPr>
                      </pic:pic>
                    </a:graphicData>
                  </a:graphic>
                </wp:inline>
              </w:drawing>
            </w:r>
          </w:p>
          <w:p>
            <w:pPr>
              <w:pStyle w:val="2"/>
              <w:jc w:val="center"/>
              <w:rPr>
                <w:rFonts w:hint="eastAsia"/>
                <w:lang w:val="en-US" w:eastAsia="zh-CN"/>
              </w:rPr>
            </w:pPr>
            <w:r>
              <w:rPr>
                <w:lang w:eastAsia="zh-CN"/>
              </w:rPr>
              <w:drawing>
                <wp:inline distT="0" distB="0" distL="114300" distR="114300">
                  <wp:extent cx="4070985" cy="2722880"/>
                  <wp:effectExtent l="0" t="0" r="5715" b="1270"/>
                  <wp:docPr id="7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1"/>
                          <pic:cNvPicPr>
                            <a:picLocks noChangeAspect="1"/>
                          </pic:cNvPicPr>
                        </pic:nvPicPr>
                        <pic:blipFill>
                          <a:blip r:embed="rId15"/>
                          <a:stretch>
                            <a:fillRect/>
                          </a:stretch>
                        </pic:blipFill>
                        <pic:spPr>
                          <a:xfrm>
                            <a:off x="0" y="0"/>
                            <a:ext cx="4070985" cy="27228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80" w:firstLineChars="20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开展社会组织参与社会治理研讨会暨社会组织蓝皮书及调解模型发布会并参展第十届中国慈展会</w:t>
            </w:r>
          </w:p>
          <w:p>
            <w:pPr>
              <w:jc w:val="center"/>
              <w:rPr>
                <w:rFonts w:hint="eastAsia"/>
                <w:lang w:val="en-US" w:eastAsia="zh-CN"/>
              </w:rPr>
            </w:pPr>
            <w:r>
              <w:drawing>
                <wp:inline distT="0" distB="0" distL="114300" distR="114300">
                  <wp:extent cx="2306955" cy="3209290"/>
                  <wp:effectExtent l="0" t="0" r="1714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2306955" cy="3209290"/>
                          </a:xfrm>
                          <a:prstGeom prst="rect">
                            <a:avLst/>
                          </a:prstGeom>
                          <a:noFill/>
                          <a:ln>
                            <a:noFill/>
                          </a:ln>
                        </pic:spPr>
                      </pic:pic>
                    </a:graphicData>
                  </a:graphic>
                </wp:inline>
              </w:drawing>
            </w:r>
            <w:r>
              <w:drawing>
                <wp:inline distT="0" distB="0" distL="114300" distR="114300">
                  <wp:extent cx="2367280" cy="3223260"/>
                  <wp:effectExtent l="0" t="0" r="13970"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2367280" cy="32232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80" w:firstLineChars="20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2023年展示点项目成果册以及深圳社会组织《观察》专刊</w:t>
            </w:r>
          </w:p>
          <w:p>
            <w:pPr>
              <w:jc w:val="center"/>
              <w:rPr>
                <w:rFonts w:hint="default"/>
                <w:lang w:val="en-US" w:eastAsia="zh-CN"/>
              </w:rPr>
            </w:pPr>
            <w:r>
              <w:rPr>
                <w:rFonts w:hint="default"/>
                <w:lang w:val="en-US" w:eastAsia="zh-CN"/>
              </w:rPr>
              <w:drawing>
                <wp:inline distT="0" distB="0" distL="114300" distR="114300">
                  <wp:extent cx="4807585" cy="2691765"/>
                  <wp:effectExtent l="0" t="0" r="12065" b="13335"/>
                  <wp:docPr id="9" name="图片 9" descr="2024-05-16_10-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4-05-16_10-45-22"/>
                          <pic:cNvPicPr>
                            <a:picLocks noChangeAspect="1"/>
                          </pic:cNvPicPr>
                        </pic:nvPicPr>
                        <pic:blipFill>
                          <a:blip r:embed="rId18"/>
                          <a:stretch>
                            <a:fillRect/>
                          </a:stretch>
                        </pic:blipFill>
                        <pic:spPr>
                          <a:xfrm>
                            <a:off x="0" y="0"/>
                            <a:ext cx="4807585" cy="269176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80" w:firstLineChars="200"/>
              <w:jc w:val="center"/>
              <w:textAlignment w:val="auto"/>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2023年展示点项目宣传视频</w:t>
            </w:r>
          </w:p>
          <w:p>
            <w:pPr>
              <w:jc w:val="center"/>
              <w:rPr>
                <w:lang w:eastAsia="zh-CN"/>
              </w:rPr>
            </w:pPr>
            <w:r>
              <w:rPr>
                <w:lang w:eastAsia="zh-CN"/>
              </w:rPr>
              <w:drawing>
                <wp:inline distT="0" distB="0" distL="114300" distR="114300">
                  <wp:extent cx="4521835" cy="2002790"/>
                  <wp:effectExtent l="0" t="0" r="12065" b="1651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19"/>
                          <a:stretch>
                            <a:fillRect/>
                          </a:stretch>
                        </pic:blipFill>
                        <pic:spPr>
                          <a:xfrm>
                            <a:off x="0" y="0"/>
                            <a:ext cx="4521835" cy="20027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80" w:firstLineChars="20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“i深圳”APP宣传报道</w:t>
            </w:r>
          </w:p>
          <w:p>
            <w:pPr>
              <w:rPr>
                <w:rFonts w:hint="default"/>
                <w:lang w:val="en-US" w:eastAsia="zh-CN"/>
              </w:rPr>
            </w:pPr>
            <w:r>
              <w:rPr>
                <w:rFonts w:hint="default"/>
                <w:lang w:val="en-US" w:eastAsia="zh-CN"/>
              </w:rPr>
              <w:drawing>
                <wp:inline distT="0" distB="0" distL="114300" distR="114300">
                  <wp:extent cx="2044065" cy="3270250"/>
                  <wp:effectExtent l="0" t="0" r="13335" b="6350"/>
                  <wp:docPr id="10" name="图片 10" descr="“圳治2023”——中国式现代化的深圳探索优秀案例榜单评选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圳治2023”——中国式现代化的深圳探索优秀案例榜单评选活动"/>
                          <pic:cNvPicPr>
                            <a:picLocks noChangeAspect="1"/>
                          </pic:cNvPicPr>
                        </pic:nvPicPr>
                        <pic:blipFill>
                          <a:blip r:embed="rId20"/>
                          <a:stretch>
                            <a:fillRect/>
                          </a:stretch>
                        </pic:blipFill>
                        <pic:spPr>
                          <a:xfrm>
                            <a:off x="0" y="0"/>
                            <a:ext cx="2044065" cy="3270250"/>
                          </a:xfrm>
                          <a:prstGeom prst="rect">
                            <a:avLst/>
                          </a:prstGeom>
                        </pic:spPr>
                      </pic:pic>
                    </a:graphicData>
                  </a:graphic>
                </wp:inline>
              </w:drawing>
            </w:r>
            <w:r>
              <w:rPr>
                <w:rFonts w:hint="default"/>
                <w:lang w:val="en-US" w:eastAsia="zh-CN"/>
              </w:rPr>
              <w:drawing>
                <wp:inline distT="0" distB="0" distL="114300" distR="114300">
                  <wp:extent cx="2494915" cy="3220720"/>
                  <wp:effectExtent l="0" t="0" r="635" b="17780"/>
                  <wp:docPr id="11" name="图片 11" descr="中国社会报报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中国社会报报道"/>
                          <pic:cNvPicPr>
                            <a:picLocks noChangeAspect="1"/>
                          </pic:cNvPicPr>
                        </pic:nvPicPr>
                        <pic:blipFill>
                          <a:blip r:embed="rId21"/>
                          <a:stretch>
                            <a:fillRect/>
                          </a:stretch>
                        </pic:blipFill>
                        <pic:spPr>
                          <a:xfrm>
                            <a:off x="0" y="0"/>
                            <a:ext cx="2494915" cy="3220720"/>
                          </a:xfrm>
                          <a:prstGeom prst="rect">
                            <a:avLst/>
                          </a:prstGeom>
                        </pic:spPr>
                      </pic:pic>
                    </a:graphicData>
                  </a:graphic>
                </wp:inline>
              </w:drawing>
            </w:r>
            <w:r>
              <w:rPr>
                <w:rFonts w:hint="default"/>
                <w:lang w:val="en-US" w:eastAsia="zh-CN"/>
              </w:rPr>
              <w:drawing>
                <wp:inline distT="0" distB="0" distL="114300" distR="114300">
                  <wp:extent cx="2160270" cy="3034665"/>
                  <wp:effectExtent l="0" t="0" r="11430" b="13335"/>
                  <wp:docPr id="12" name="图片 12" descr="人民政协报报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人民政协报报道"/>
                          <pic:cNvPicPr>
                            <a:picLocks noChangeAspect="1"/>
                          </pic:cNvPicPr>
                        </pic:nvPicPr>
                        <pic:blipFill>
                          <a:blip r:embed="rId22"/>
                          <a:stretch>
                            <a:fillRect/>
                          </a:stretch>
                        </pic:blipFill>
                        <pic:spPr>
                          <a:xfrm>
                            <a:off x="0" y="0"/>
                            <a:ext cx="2160270" cy="3034665"/>
                          </a:xfrm>
                          <a:prstGeom prst="rect">
                            <a:avLst/>
                          </a:prstGeom>
                        </pic:spPr>
                      </pic:pic>
                    </a:graphicData>
                  </a:graphic>
                </wp:inline>
              </w:drawing>
            </w:r>
            <w:bookmarkStart w:id="7" w:name="_GoBack"/>
            <w:bookmarkEnd w:id="7"/>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80" w:firstLineChars="200"/>
              <w:jc w:val="center"/>
              <w:textAlignment w:val="auto"/>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项目入围</w:t>
            </w:r>
            <w:r>
              <w:rPr>
                <w:rFonts w:hint="default" w:ascii="仿宋_GB2312" w:hAnsi="仿宋_GB2312" w:eastAsia="仿宋_GB2312" w:cs="仿宋_GB2312"/>
                <w:kern w:val="2"/>
                <w:sz w:val="24"/>
                <w:szCs w:val="24"/>
                <w:lang w:val="en-US" w:eastAsia="zh-CN" w:bidi="ar-SA"/>
              </w:rPr>
              <w:t>“圳治2023”优秀案例榜单评选活动</w:t>
            </w:r>
            <w:r>
              <w:rPr>
                <w:rFonts w:hint="eastAsia" w:ascii="仿宋_GB2312" w:hAnsi="仿宋_GB2312" w:eastAsia="仿宋_GB2312" w:cs="仿宋_GB2312"/>
                <w:kern w:val="2"/>
                <w:sz w:val="24"/>
                <w:szCs w:val="24"/>
                <w:lang w:val="en-US" w:eastAsia="zh-CN" w:bidi="ar-SA"/>
              </w:rPr>
              <w:t>，获中国社会报、人民政协报报道</w:t>
            </w:r>
          </w:p>
          <w:p>
            <w:pPr>
              <w:rPr>
                <w:rFonts w:hint="default"/>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84" w:type="dxa"/>
            <w:right w:w="84" w:type="dxa"/>
          </w:tblCellMar>
        </w:tblPrEx>
        <w:trPr>
          <w:trHeight w:val="332" w:hRule="atLeast"/>
        </w:trPr>
        <w:tc>
          <w:tcPr>
            <w:tcW w:w="174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项目或资金管理办法</w:t>
            </w:r>
          </w:p>
        </w:tc>
        <w:tc>
          <w:tcPr>
            <w:tcW w:w="8160" w:type="dxa"/>
            <w:gridSpan w:val="6"/>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80" w:firstLineChars="200"/>
              <w:jc w:val="center"/>
              <w:textAlignment w:val="auto"/>
              <w:rPr>
                <w:rFonts w:hint="eastAsia" w:ascii="仿宋_GB2312" w:hAnsi="仿宋_GB2312" w:eastAsia="仿宋_GB2312" w:cs="仿宋_GB2312"/>
                <w:kern w:val="2"/>
                <w:sz w:val="24"/>
                <w:szCs w:val="24"/>
                <w:lang w:val="en-US" w:eastAsia="zh-CN" w:bidi="ar-SA"/>
              </w:rPr>
            </w:pPr>
            <w:bookmarkStart w:id="0" w:name="_Hlk26804175"/>
            <w:r>
              <w:rPr>
                <w:rFonts w:hint="eastAsia" w:ascii="仿宋_GB2312" w:hAnsi="仿宋_GB2312" w:eastAsia="仿宋_GB2312" w:cs="仿宋_GB2312"/>
                <w:kern w:val="2"/>
                <w:sz w:val="24"/>
                <w:szCs w:val="24"/>
                <w:lang w:val="en-US" w:eastAsia="zh-CN" w:bidi="ar-SA"/>
              </w:rPr>
              <w:t>《深圳市</w:t>
            </w:r>
            <w:bookmarkStart w:id="1" w:name="_Toc36326203"/>
            <w:bookmarkStart w:id="2" w:name="_Toc26804381"/>
            <w:r>
              <w:rPr>
                <w:rFonts w:hint="eastAsia" w:ascii="仿宋_GB2312" w:hAnsi="仿宋_GB2312" w:eastAsia="仿宋_GB2312" w:cs="仿宋_GB2312"/>
                <w:kern w:val="2"/>
                <w:sz w:val="24"/>
                <w:szCs w:val="24"/>
                <w:lang w:val="en-US" w:eastAsia="zh-CN" w:bidi="ar-SA"/>
              </w:rPr>
              <w:t>社会组织交流服务展示点项目</w:t>
            </w:r>
            <w:bookmarkEnd w:id="1"/>
            <w:bookmarkEnd w:id="2"/>
            <w:r>
              <w:rPr>
                <w:rFonts w:hint="eastAsia" w:ascii="仿宋_GB2312" w:hAnsi="仿宋_GB2312" w:eastAsia="仿宋_GB2312" w:cs="仿宋_GB2312"/>
                <w:kern w:val="2"/>
                <w:sz w:val="24"/>
                <w:szCs w:val="24"/>
                <w:lang w:val="en-US" w:eastAsia="zh-CN" w:bidi="ar-SA"/>
              </w:rPr>
              <w:t>制度汇编》</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80" w:firstLineChars="20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《深圳市社会组织</w:t>
            </w:r>
            <w:bookmarkStart w:id="3" w:name="_Toc26795483"/>
            <w:r>
              <w:rPr>
                <w:rFonts w:hint="eastAsia" w:ascii="仿宋_GB2312" w:hAnsi="仿宋_GB2312" w:eastAsia="仿宋_GB2312" w:cs="仿宋_GB2312"/>
                <w:kern w:val="2"/>
                <w:sz w:val="24"/>
                <w:szCs w:val="24"/>
                <w:lang w:val="en-US" w:eastAsia="zh-CN" w:bidi="ar-SA"/>
              </w:rPr>
              <w:t>交流服务展示点项目第三方运营机构制度汇编</w:t>
            </w:r>
            <w:bookmarkEnd w:id="3"/>
            <w:bookmarkStart w:id="4" w:name="_Toc26804380"/>
            <w:bookmarkStart w:id="5" w:name="_Toc36326202"/>
            <w:bookmarkStart w:id="6" w:name="_Toc26804393"/>
            <w:r>
              <w:rPr>
                <w:rFonts w:hint="eastAsia" w:ascii="仿宋_GB2312" w:hAnsi="仿宋_GB2312" w:eastAsia="仿宋_GB2312" w:cs="仿宋_GB2312"/>
                <w:kern w:val="2"/>
                <w:sz w:val="24"/>
                <w:szCs w:val="24"/>
                <w:lang w:val="en-US" w:eastAsia="zh-CN" w:bidi="ar-SA"/>
              </w:rPr>
              <w:t>》</w:t>
            </w:r>
            <w:bookmarkEnd w:id="0"/>
            <w:bookmarkEnd w:id="4"/>
            <w:bookmarkEnd w:id="5"/>
            <w:bookmarkEnd w:id="6"/>
          </w:p>
        </w:tc>
      </w:tr>
    </w:tbl>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swiss"/>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Wingdings 3"/>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CESI黑体-GB2312">
    <w:panose1 w:val="02000500000000000000"/>
    <w:charset w:val="86"/>
    <w:family w:val="auto"/>
    <w:pitch w:val="default"/>
    <w:sig w:usb0="800002BF" w:usb1="184F6CF8" w:usb2="00000012" w:usb3="00000000" w:csb0="0004000F" w:csb1="00000000"/>
  </w:font>
  <w:font w:name="楷体_GB2312">
    <w:panose1 w:val="02010609030101010101"/>
    <w:charset w:val="86"/>
    <w:family w:val="auto"/>
    <w:pitch w:val="default"/>
    <w:sig w:usb0="00000001" w:usb1="080E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 w:name="Arial">
    <w:altName w:val="DejaVu Sans"/>
    <w:panose1 w:val="00000000000000000000"/>
    <w:charset w:val="00"/>
    <w:family w:val="auto"/>
    <w:pitch w:val="default"/>
    <w:sig w:usb0="00000000" w:usb1="00000000" w:usb2="00000000" w:usb3="00000000" w:csb0="00000000" w:csb1="00000000"/>
  </w:font>
  <w:font w:name="Wingdings 3">
    <w:panose1 w:val="050401020108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05768"/>
      <w:docPartObj>
        <w:docPartGallery w:val="autotext"/>
      </w:docPartObj>
    </w:sdtPr>
    <w:sdtEndPr>
      <w:rPr>
        <w:rFonts w:asciiTheme="minorEastAsia" w:hAnsiTheme="minorEastAsia" w:eastAsiaTheme="minorEastAsia"/>
        <w:sz w:val="28"/>
        <w:szCs w:val="28"/>
      </w:rPr>
    </w:sdtEndPr>
    <w:sdtContent>
      <w:p>
        <w:pPr>
          <w:pStyle w:val="9"/>
          <w:jc w:val="center"/>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1 -</w:t>
        </w:r>
        <w:r>
          <w:rPr>
            <w:rFonts w:asciiTheme="minorEastAsia" w:hAnsiTheme="minorEastAsia" w:eastAsiaTheme="minorEastAsia"/>
            <w:sz w:val="28"/>
            <w:szCs w:val="28"/>
          </w:rPr>
          <w:fldChar w:fldCharType="end"/>
        </w:r>
      </w:p>
    </w:sdtContent>
  </w:sdt>
  <w:p>
    <w:pPr>
      <w:pStyle w:val="9"/>
      <w:rPr>
        <w:rFonts w:asciiTheme="minorEastAsia" w:hAnsiTheme="minorEastAsia" w:eastAsiaTheme="minorEastAsia"/>
        <w:sz w:val="28"/>
        <w:szCs w:val="28"/>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BhMzA0NWVjOGYwYzgyOTBjMmI4ZmFmZjJjYjIyYTQifQ=="/>
  </w:docVars>
  <w:rsids>
    <w:rsidRoot w:val="001C27D7"/>
    <w:rsid w:val="00040F42"/>
    <w:rsid w:val="00131683"/>
    <w:rsid w:val="0015739A"/>
    <w:rsid w:val="001B5642"/>
    <w:rsid w:val="001C27D7"/>
    <w:rsid w:val="001C6B23"/>
    <w:rsid w:val="00202F7F"/>
    <w:rsid w:val="00240B79"/>
    <w:rsid w:val="003D28B9"/>
    <w:rsid w:val="00407D62"/>
    <w:rsid w:val="00436BE8"/>
    <w:rsid w:val="00631F86"/>
    <w:rsid w:val="00813566"/>
    <w:rsid w:val="0087532B"/>
    <w:rsid w:val="00900FA7"/>
    <w:rsid w:val="00954750"/>
    <w:rsid w:val="00BD6EE7"/>
    <w:rsid w:val="00C410D6"/>
    <w:rsid w:val="00CE305C"/>
    <w:rsid w:val="00DA5171"/>
    <w:rsid w:val="00E34C4B"/>
    <w:rsid w:val="00EF03A0"/>
    <w:rsid w:val="00F77782"/>
    <w:rsid w:val="00F85110"/>
    <w:rsid w:val="02E1776D"/>
    <w:rsid w:val="08823E48"/>
    <w:rsid w:val="0AFA5E76"/>
    <w:rsid w:val="0E196FF9"/>
    <w:rsid w:val="14CC3041"/>
    <w:rsid w:val="14E37374"/>
    <w:rsid w:val="1F7A6BB9"/>
    <w:rsid w:val="221F7512"/>
    <w:rsid w:val="222C235B"/>
    <w:rsid w:val="23847F75"/>
    <w:rsid w:val="27637EA1"/>
    <w:rsid w:val="2A497B4D"/>
    <w:rsid w:val="2C8608B9"/>
    <w:rsid w:val="2FC42B59"/>
    <w:rsid w:val="2FFCF903"/>
    <w:rsid w:val="326E3729"/>
    <w:rsid w:val="339C220D"/>
    <w:rsid w:val="33AA2337"/>
    <w:rsid w:val="36DE490A"/>
    <w:rsid w:val="38C8225A"/>
    <w:rsid w:val="3BEA0F5B"/>
    <w:rsid w:val="3E612915"/>
    <w:rsid w:val="3F4A3181"/>
    <w:rsid w:val="42F80F57"/>
    <w:rsid w:val="468846E9"/>
    <w:rsid w:val="4C0C44C0"/>
    <w:rsid w:val="4C5265ED"/>
    <w:rsid w:val="4E993BA2"/>
    <w:rsid w:val="5141363B"/>
    <w:rsid w:val="569B1BA9"/>
    <w:rsid w:val="596A6FB5"/>
    <w:rsid w:val="5A387B5A"/>
    <w:rsid w:val="5F6E4EAE"/>
    <w:rsid w:val="5FFB7C8A"/>
    <w:rsid w:val="60261490"/>
    <w:rsid w:val="60A26D69"/>
    <w:rsid w:val="60BB7F81"/>
    <w:rsid w:val="61DE2022"/>
    <w:rsid w:val="61E71FE4"/>
    <w:rsid w:val="62B706B7"/>
    <w:rsid w:val="63E972CE"/>
    <w:rsid w:val="64047D3A"/>
    <w:rsid w:val="665746F5"/>
    <w:rsid w:val="69A022B3"/>
    <w:rsid w:val="6ACD532A"/>
    <w:rsid w:val="6DF3B49F"/>
    <w:rsid w:val="6FEF109F"/>
    <w:rsid w:val="72E2292C"/>
    <w:rsid w:val="72F0605A"/>
    <w:rsid w:val="7DCF5F8A"/>
    <w:rsid w:val="7F9C15FF"/>
    <w:rsid w:val="7FB3D204"/>
    <w:rsid w:val="7FFE577D"/>
    <w:rsid w:val="97CB21F8"/>
    <w:rsid w:val="D7FF3350"/>
    <w:rsid w:val="DD7FF769"/>
    <w:rsid w:val="E6CC3A48"/>
    <w:rsid w:val="EFEF7D0D"/>
    <w:rsid w:val="F56B903B"/>
    <w:rsid w:val="FEAE49EF"/>
    <w:rsid w:val="FF36F2C9"/>
    <w:rsid w:val="FF5FF423"/>
    <w:rsid w:val="FFFF108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14"/>
    <w:qFormat/>
    <w:uiPriority w:val="0"/>
    <w:pPr>
      <w:keepNext/>
      <w:keepLines/>
      <w:spacing w:before="240" w:after="240" w:line="480" w:lineRule="auto"/>
      <w:jc w:val="center"/>
      <w:outlineLvl w:val="0"/>
    </w:pPr>
    <w:rPr>
      <w:rFonts w:ascii="Times New Roman" w:hAnsi="Times New Roman" w:eastAsia="仿宋"/>
      <w:b/>
      <w:bCs/>
      <w:kern w:val="44"/>
      <w:sz w:val="36"/>
      <w:szCs w:val="44"/>
    </w:rPr>
  </w:style>
  <w:style w:type="paragraph" w:styleId="4">
    <w:name w:val="heading 2"/>
    <w:basedOn w:val="1"/>
    <w:next w:val="1"/>
    <w:unhideWhenUsed/>
    <w:qFormat/>
    <w:uiPriority w:val="0"/>
    <w:pPr>
      <w:keepNext/>
      <w:keepLines/>
      <w:spacing w:beforeLines="0" w:beforeAutospacing="0" w:afterLines="0" w:afterAutospacing="0" w:line="360" w:lineRule="auto"/>
      <w:ind w:left="840" w:leftChars="400"/>
      <w:outlineLvl w:val="1"/>
    </w:pPr>
    <w:rPr>
      <w:rFonts w:ascii="Arial" w:hAnsi="Arial" w:eastAsia="仿宋_GB2312"/>
      <w:b/>
      <w:sz w:val="30"/>
    </w:rPr>
  </w:style>
  <w:style w:type="paragraph" w:styleId="5">
    <w:name w:val="heading 3"/>
    <w:basedOn w:val="1"/>
    <w:next w:val="1"/>
    <w:link w:val="15"/>
    <w:semiHidden/>
    <w:unhideWhenUsed/>
    <w:qFormat/>
    <w:uiPriority w:val="9"/>
    <w:pPr>
      <w:keepNext/>
      <w:keepLines/>
      <w:spacing w:before="260" w:after="260" w:line="415" w:lineRule="auto"/>
      <w:outlineLvl w:val="2"/>
    </w:pPr>
    <w:rPr>
      <w:rFonts w:cs="宋体"/>
      <w:b/>
      <w:bCs/>
      <w:sz w:val="32"/>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line="360" w:lineRule="auto"/>
    </w:pPr>
    <w:rPr>
      <w:b/>
      <w:bCs/>
      <w:sz w:val="24"/>
    </w:rPr>
  </w:style>
  <w:style w:type="paragraph" w:styleId="6">
    <w:name w:val="Normal Indent"/>
    <w:basedOn w:val="1"/>
    <w:next w:val="2"/>
    <w:qFormat/>
    <w:uiPriority w:val="0"/>
    <w:pPr>
      <w:ind w:firstLine="420"/>
    </w:pPr>
    <w:rPr>
      <w:szCs w:val="20"/>
    </w:rPr>
  </w:style>
  <w:style w:type="paragraph" w:styleId="7">
    <w:name w:val="Plain Text"/>
    <w:basedOn w:val="1"/>
    <w:next w:val="1"/>
    <w:qFormat/>
    <w:uiPriority w:val="0"/>
    <w:rPr>
      <w:rFonts w:ascii="宋体" w:hAnsi="Courier New"/>
      <w:szCs w:val="20"/>
    </w:rPr>
  </w:style>
  <w:style w:type="paragraph" w:styleId="8">
    <w:name w:val="Balloon Text"/>
    <w:basedOn w:val="1"/>
    <w:link w:val="16"/>
    <w:semiHidden/>
    <w:unhideWhenUsed/>
    <w:qFormat/>
    <w:uiPriority w:val="99"/>
    <w:rPr>
      <w:sz w:val="18"/>
      <w:szCs w:val="18"/>
    </w:rPr>
  </w:style>
  <w:style w:type="paragraph" w:styleId="9">
    <w:name w:val="footer"/>
    <w:basedOn w:val="1"/>
    <w:link w:val="18"/>
    <w:unhideWhenUsed/>
    <w:qFormat/>
    <w:uiPriority w:val="99"/>
    <w:pPr>
      <w:tabs>
        <w:tab w:val="center" w:pos="4153"/>
        <w:tab w:val="right" w:pos="8306"/>
      </w:tabs>
      <w:snapToGrid w:val="0"/>
      <w:jc w:val="left"/>
    </w:pPr>
    <w:rPr>
      <w:sz w:val="18"/>
      <w:szCs w:val="18"/>
    </w:rPr>
  </w:style>
  <w:style w:type="paragraph" w:styleId="10">
    <w:name w:val="header"/>
    <w:basedOn w:val="1"/>
    <w:link w:val="1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customStyle="1" w:styleId="14">
    <w:name w:val="标题 1 Char"/>
    <w:basedOn w:val="13"/>
    <w:link w:val="3"/>
    <w:qFormat/>
    <w:uiPriority w:val="0"/>
    <w:rPr>
      <w:rFonts w:ascii="Times New Roman" w:hAnsi="Times New Roman" w:eastAsia="仿宋" w:cs="Times New Roman"/>
      <w:b/>
      <w:bCs/>
      <w:kern w:val="44"/>
      <w:sz w:val="36"/>
      <w:szCs w:val="44"/>
    </w:rPr>
  </w:style>
  <w:style w:type="character" w:customStyle="1" w:styleId="15">
    <w:name w:val="标题 3 Char"/>
    <w:basedOn w:val="13"/>
    <w:link w:val="5"/>
    <w:semiHidden/>
    <w:qFormat/>
    <w:uiPriority w:val="9"/>
    <w:rPr>
      <w:rFonts w:ascii="Calibri" w:hAnsi="Calibri" w:eastAsia="宋体" w:cs="宋体"/>
      <w:b/>
      <w:bCs/>
      <w:sz w:val="32"/>
      <w:szCs w:val="32"/>
    </w:rPr>
  </w:style>
  <w:style w:type="character" w:customStyle="1" w:styleId="16">
    <w:name w:val="批注框文本 Char"/>
    <w:basedOn w:val="13"/>
    <w:link w:val="8"/>
    <w:semiHidden/>
    <w:qFormat/>
    <w:uiPriority w:val="99"/>
    <w:rPr>
      <w:rFonts w:ascii="Calibri" w:hAnsi="Calibri" w:eastAsia="宋体" w:cs="Times New Roman"/>
      <w:sz w:val="18"/>
      <w:szCs w:val="18"/>
    </w:rPr>
  </w:style>
  <w:style w:type="character" w:customStyle="1" w:styleId="17">
    <w:name w:val="页眉 Char"/>
    <w:basedOn w:val="13"/>
    <w:link w:val="10"/>
    <w:semiHidden/>
    <w:qFormat/>
    <w:uiPriority w:val="99"/>
    <w:rPr>
      <w:rFonts w:ascii="Calibri" w:hAnsi="Calibri" w:eastAsia="宋体" w:cs="Times New Roman"/>
      <w:kern w:val="2"/>
      <w:sz w:val="18"/>
      <w:szCs w:val="18"/>
    </w:rPr>
  </w:style>
  <w:style w:type="character" w:customStyle="1" w:styleId="18">
    <w:name w:val="页脚 Char"/>
    <w:basedOn w:val="13"/>
    <w:link w:val="9"/>
    <w:qFormat/>
    <w:uiPriority w:val="99"/>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13</Pages>
  <Words>3491</Words>
  <Characters>3684</Characters>
  <Lines>20</Lines>
  <Paragraphs>5</Paragraphs>
  <TotalTime>3</TotalTime>
  <ScaleCrop>false</ScaleCrop>
  <LinksUpToDate>false</LinksUpToDate>
  <CharactersWithSpaces>3990</CharactersWithSpaces>
  <Application>WPS Office_11.8.2.11764_F1E327BC-269C-435d-A152-05C5408002CA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2022-06-12T19:31:00Z</dcterms:created>
  <dc:creator>lenovo</dc:creator>
  <cp:lastModifiedBy>郑锦婷</cp:lastModifiedBy>
  <dcterms:modified xsi:type="dcterms:W3CDTF">2024-05-20T16:46:38Z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2052-11.8.2.11764</vt:lpwstr>
  </property>
  <property fmtid="{D5CDD505-2E9C-101B-9397-08002B2CF9AE}" pid="3" name="ICV">
    <vt:lpwstr>1DD80332AC7FF56DEE0D4B66B9FA1162</vt:lpwstr>
  </property>
</Properties>
</file>